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0DABF" w14:textId="0506E5D9" w:rsidR="005B1BD4" w:rsidRPr="00AA08FC" w:rsidRDefault="005B1BD4" w:rsidP="005B1BD4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r w:rsidRPr="00AA08FC">
        <w:rPr>
          <w:rFonts w:ascii="Calibri" w:hAnsi="Calibri" w:cs="Calibri"/>
          <w:b/>
          <w:bCs/>
          <w:sz w:val="22"/>
          <w:szCs w:val="22"/>
        </w:rPr>
        <w:t xml:space="preserve">HÜDA PAR: Netanyahu hakkındaki kırmızı bülten kararı </w:t>
      </w:r>
      <w:r w:rsidR="00AA08FC" w:rsidRPr="00AA08FC">
        <w:rPr>
          <w:rFonts w:ascii="Calibri" w:hAnsi="Calibri" w:cs="Calibri"/>
          <w:b/>
          <w:bCs/>
          <w:sz w:val="22"/>
          <w:szCs w:val="22"/>
        </w:rPr>
        <w:t>kâğıt</w:t>
      </w:r>
      <w:r w:rsidR="001659B3" w:rsidRPr="00AA08FC">
        <w:rPr>
          <w:rFonts w:ascii="Calibri" w:hAnsi="Calibri" w:cs="Calibri"/>
          <w:b/>
          <w:bCs/>
          <w:sz w:val="22"/>
          <w:szCs w:val="22"/>
        </w:rPr>
        <w:t xml:space="preserve"> üzerinde kalmamalı</w:t>
      </w:r>
    </w:p>
    <w:bookmarkEnd w:id="0"/>
    <w:p w14:paraId="6AAEF158" w14:textId="16043A90" w:rsidR="005B1BD4" w:rsidRPr="00AA08FC" w:rsidRDefault="001659B3" w:rsidP="005B1BD4">
      <w:pPr>
        <w:rPr>
          <w:rFonts w:ascii="Calibri" w:hAnsi="Calibri" w:cs="Calibri"/>
          <w:b/>
          <w:bCs/>
          <w:sz w:val="22"/>
          <w:szCs w:val="22"/>
        </w:rPr>
      </w:pPr>
      <w:r w:rsidRPr="00AA08FC">
        <w:rPr>
          <w:rFonts w:ascii="Calibri" w:hAnsi="Calibri" w:cs="Calibri"/>
          <w:b/>
          <w:bCs/>
          <w:sz w:val="22"/>
          <w:szCs w:val="22"/>
        </w:rPr>
        <w:t xml:space="preserve">HÜDA PAR İnsan Hakları ve Hukuk İşleri Başkanlığı, Sumud Filosu davasında soykırımcı Netanyahu hakkında kırmızı bülten çıkarılmasının uluslararası adaletin tesisi bakımından önemli bir adım olduğunu </w:t>
      </w:r>
      <w:r w:rsidR="003444D1">
        <w:rPr>
          <w:rFonts w:ascii="Calibri" w:hAnsi="Calibri" w:cs="Calibri"/>
          <w:b/>
          <w:bCs/>
          <w:sz w:val="22"/>
          <w:szCs w:val="22"/>
        </w:rPr>
        <w:t>belirtti.</w:t>
      </w:r>
    </w:p>
    <w:p w14:paraId="4F37A132" w14:textId="77777777" w:rsidR="001659B3" w:rsidRPr="00AA08FC" w:rsidRDefault="001659B3" w:rsidP="005B1BD4">
      <w:pPr>
        <w:rPr>
          <w:rFonts w:ascii="Calibri" w:hAnsi="Calibri" w:cs="Calibri"/>
          <w:sz w:val="22"/>
          <w:szCs w:val="22"/>
        </w:rPr>
      </w:pPr>
      <w:r w:rsidRPr="00AA08FC">
        <w:rPr>
          <w:rFonts w:ascii="Calibri" w:hAnsi="Calibri" w:cs="Calibri"/>
          <w:sz w:val="22"/>
          <w:szCs w:val="22"/>
        </w:rPr>
        <w:t xml:space="preserve">HÜDA PAR İnsan Hakları ve Hukuk İşleri Başkanlığı, </w:t>
      </w:r>
      <w:r w:rsidR="005B1BD4" w:rsidRPr="00AA08FC">
        <w:rPr>
          <w:rFonts w:ascii="Calibri" w:hAnsi="Calibri" w:cs="Calibri"/>
          <w:sz w:val="22"/>
          <w:szCs w:val="22"/>
        </w:rPr>
        <w:t xml:space="preserve">İstanbul 11. Ağır Ceza Mahkemesi'nde görülen Sumud Filosu davasında </w:t>
      </w:r>
      <w:r w:rsidRPr="00AA08FC">
        <w:rPr>
          <w:rFonts w:ascii="Calibri" w:hAnsi="Calibri" w:cs="Calibri"/>
          <w:sz w:val="22"/>
          <w:szCs w:val="22"/>
        </w:rPr>
        <w:t>işgalci terör rejiminin sözde başbakanı Binyamin Netanyahu hakkında kırmızı bülten çıkarılmasına yönelik ara karar verilmesine ilişkin yazılı açıklama yaptı.</w:t>
      </w:r>
    </w:p>
    <w:p w14:paraId="6CB7BCBF" w14:textId="1119D054" w:rsidR="005B1BD4" w:rsidRPr="00AA08FC" w:rsidRDefault="005B1BD4" w:rsidP="005B1BD4">
      <w:pPr>
        <w:rPr>
          <w:rFonts w:ascii="Calibri" w:hAnsi="Calibri" w:cs="Calibri"/>
          <w:b/>
          <w:bCs/>
          <w:sz w:val="22"/>
          <w:szCs w:val="22"/>
        </w:rPr>
      </w:pPr>
      <w:r w:rsidRPr="00AA08FC">
        <w:rPr>
          <w:rFonts w:ascii="Calibri" w:hAnsi="Calibri" w:cs="Calibri"/>
          <w:b/>
          <w:bCs/>
          <w:sz w:val="22"/>
          <w:szCs w:val="22"/>
        </w:rPr>
        <w:t>“Uluslararası adaletin tesisi bakımından son derece önemli bir adım”</w:t>
      </w:r>
    </w:p>
    <w:p w14:paraId="7672A789" w14:textId="168428B1" w:rsidR="005B1BD4" w:rsidRPr="00AA08FC" w:rsidRDefault="00AA08FC" w:rsidP="005B1BD4">
      <w:pPr>
        <w:rPr>
          <w:rFonts w:ascii="Calibri" w:hAnsi="Calibri" w:cs="Calibri"/>
          <w:sz w:val="22"/>
          <w:szCs w:val="22"/>
        </w:rPr>
      </w:pPr>
      <w:r w:rsidRPr="00AA08FC">
        <w:rPr>
          <w:rFonts w:ascii="Calibri" w:hAnsi="Calibri" w:cs="Calibri"/>
          <w:sz w:val="22"/>
          <w:szCs w:val="22"/>
        </w:rPr>
        <w:t>S</w:t>
      </w:r>
      <w:r w:rsidRPr="00AA08FC">
        <w:rPr>
          <w:rFonts w:ascii="Calibri" w:hAnsi="Calibri" w:cs="Calibri" w:hint="cs"/>
          <w:sz w:val="22"/>
          <w:szCs w:val="22"/>
        </w:rPr>
        <w:t>ö</w:t>
      </w:r>
      <w:r w:rsidRPr="00AA08FC">
        <w:rPr>
          <w:rFonts w:ascii="Calibri" w:hAnsi="Calibri" w:cs="Calibri"/>
          <w:sz w:val="22"/>
          <w:szCs w:val="22"/>
        </w:rPr>
        <w:t>z konusu karar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n, cezas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zl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kla m</w:t>
      </w:r>
      <w:r w:rsidRPr="00AA08FC">
        <w:rPr>
          <w:rFonts w:ascii="Calibri" w:hAnsi="Calibri" w:cs="Calibri" w:hint="cs"/>
          <w:sz w:val="22"/>
          <w:szCs w:val="22"/>
        </w:rPr>
        <w:t>ü</w:t>
      </w:r>
      <w:r w:rsidRPr="00AA08FC">
        <w:rPr>
          <w:rFonts w:ascii="Calibri" w:hAnsi="Calibri" w:cs="Calibri"/>
          <w:sz w:val="22"/>
          <w:szCs w:val="22"/>
        </w:rPr>
        <w:t>cadele ve uluslararas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 xml:space="preserve"> adaletin tesisi bak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m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 xml:space="preserve">ndan son derece </w:t>
      </w:r>
      <w:r w:rsidRPr="00AA08FC">
        <w:rPr>
          <w:rFonts w:ascii="Calibri" w:hAnsi="Calibri" w:cs="Calibri" w:hint="cs"/>
          <w:sz w:val="22"/>
          <w:szCs w:val="22"/>
        </w:rPr>
        <w:t>ö</w:t>
      </w:r>
      <w:r w:rsidRPr="00AA08FC">
        <w:rPr>
          <w:rFonts w:ascii="Calibri" w:hAnsi="Calibri" w:cs="Calibri"/>
          <w:sz w:val="22"/>
          <w:szCs w:val="22"/>
        </w:rPr>
        <w:t>nemli bir ad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m oldu</w:t>
      </w:r>
      <w:r w:rsidRPr="00AA08FC">
        <w:rPr>
          <w:rFonts w:ascii="Calibri" w:hAnsi="Calibri" w:cs="Calibri" w:hint="cs"/>
          <w:sz w:val="22"/>
          <w:szCs w:val="22"/>
        </w:rPr>
        <w:t>ğ</w:t>
      </w:r>
      <w:r w:rsidRPr="00AA08FC">
        <w:rPr>
          <w:rFonts w:ascii="Calibri" w:hAnsi="Calibri" w:cs="Calibri"/>
          <w:sz w:val="22"/>
          <w:szCs w:val="22"/>
        </w:rPr>
        <w:t>u vurgulanan a</w:t>
      </w:r>
      <w:r w:rsidRPr="00AA08FC">
        <w:rPr>
          <w:rFonts w:ascii="Calibri" w:hAnsi="Calibri" w:cs="Calibri" w:hint="cs"/>
          <w:sz w:val="22"/>
          <w:szCs w:val="22"/>
        </w:rPr>
        <w:t>çı</w:t>
      </w:r>
      <w:r w:rsidRPr="00AA08FC">
        <w:rPr>
          <w:rFonts w:ascii="Calibri" w:hAnsi="Calibri" w:cs="Calibri"/>
          <w:sz w:val="22"/>
          <w:szCs w:val="22"/>
        </w:rPr>
        <w:t xml:space="preserve">klamada, </w:t>
      </w:r>
      <w:r w:rsidR="005B1BD4" w:rsidRPr="00AA08FC">
        <w:rPr>
          <w:rFonts w:ascii="Calibri" w:hAnsi="Calibri" w:cs="Calibri"/>
          <w:sz w:val="22"/>
          <w:szCs w:val="22"/>
        </w:rPr>
        <w:t xml:space="preserve">“İstanbul 11. Ağır Ceza Mahkemesi tarafından Sumud Filosu davasında </w:t>
      </w:r>
      <w:proofErr w:type="spellStart"/>
      <w:r w:rsidRPr="00AA08FC">
        <w:rPr>
          <w:rFonts w:ascii="Calibri" w:hAnsi="Calibri" w:cs="Calibri"/>
          <w:sz w:val="22"/>
          <w:szCs w:val="22"/>
        </w:rPr>
        <w:t>israil</w:t>
      </w:r>
      <w:proofErr w:type="spellEnd"/>
      <w:r w:rsidRPr="00AA08FC">
        <w:rPr>
          <w:rFonts w:ascii="Calibri" w:hAnsi="Calibri" w:cs="Calibri"/>
          <w:sz w:val="22"/>
          <w:szCs w:val="22"/>
        </w:rPr>
        <w:t xml:space="preserve"> terör</w:t>
      </w:r>
      <w:r w:rsidR="005B1BD4" w:rsidRPr="00AA08FC">
        <w:rPr>
          <w:rFonts w:ascii="Calibri" w:hAnsi="Calibri" w:cs="Calibri"/>
          <w:sz w:val="22"/>
          <w:szCs w:val="22"/>
        </w:rPr>
        <w:t xml:space="preserve"> rejimi </w:t>
      </w:r>
      <w:proofErr w:type="spellStart"/>
      <w:r w:rsidR="005B1BD4" w:rsidRPr="00AA08FC">
        <w:rPr>
          <w:rFonts w:ascii="Calibri" w:hAnsi="Calibri" w:cs="Calibri"/>
          <w:sz w:val="22"/>
          <w:szCs w:val="22"/>
        </w:rPr>
        <w:t>elebaşısı</w:t>
      </w:r>
      <w:proofErr w:type="spellEnd"/>
      <w:r w:rsidR="005B1BD4" w:rsidRPr="00AA08F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B1BD4" w:rsidRPr="00AA08FC">
        <w:rPr>
          <w:rFonts w:ascii="Calibri" w:hAnsi="Calibri" w:cs="Calibri"/>
          <w:sz w:val="22"/>
          <w:szCs w:val="22"/>
        </w:rPr>
        <w:t>Binyamin</w:t>
      </w:r>
      <w:proofErr w:type="spellEnd"/>
      <w:r w:rsidR="005B1BD4" w:rsidRPr="00AA08FC">
        <w:rPr>
          <w:rFonts w:ascii="Calibri" w:hAnsi="Calibri" w:cs="Calibri"/>
          <w:sz w:val="22"/>
          <w:szCs w:val="22"/>
        </w:rPr>
        <w:t xml:space="preserve"> Netanyahu hakkında kırmızı bülten çıkarılmasına yönelik ara karar verilmiştir. Söz konusu karar, cezasızlıkla mücadele ve uluslararası adaletin tesisi bakımından son derece önemli bir adımdır.” denildi. </w:t>
      </w:r>
    </w:p>
    <w:p w14:paraId="0334CA3B" w14:textId="77777777" w:rsidR="005B1BD4" w:rsidRPr="00AA08FC" w:rsidRDefault="005B1BD4" w:rsidP="005B1BD4">
      <w:pPr>
        <w:rPr>
          <w:rFonts w:ascii="Calibri" w:hAnsi="Calibri" w:cs="Calibri"/>
          <w:b/>
          <w:bCs/>
          <w:sz w:val="22"/>
          <w:szCs w:val="22"/>
        </w:rPr>
      </w:pPr>
      <w:r w:rsidRPr="00AA08FC">
        <w:rPr>
          <w:rFonts w:ascii="Calibri" w:hAnsi="Calibri" w:cs="Calibri"/>
          <w:b/>
          <w:bCs/>
          <w:sz w:val="22"/>
          <w:szCs w:val="22"/>
        </w:rPr>
        <w:t>“Uluslararası adli iş birliği mekanizmaları etkin şekilde işletilmeli”</w:t>
      </w:r>
    </w:p>
    <w:p w14:paraId="1667803F" w14:textId="5A971CA8" w:rsidR="00AA08FC" w:rsidRPr="00AA08FC" w:rsidRDefault="00AA08FC" w:rsidP="00AA08FC">
      <w:pPr>
        <w:rPr>
          <w:rFonts w:ascii="Calibri" w:hAnsi="Calibri" w:cs="Calibri"/>
          <w:sz w:val="22"/>
          <w:szCs w:val="22"/>
        </w:rPr>
      </w:pPr>
      <w:r w:rsidRPr="00AA08FC">
        <w:rPr>
          <w:rFonts w:ascii="Calibri" w:hAnsi="Calibri" w:cs="Calibri"/>
          <w:sz w:val="22"/>
          <w:szCs w:val="22"/>
        </w:rPr>
        <w:t>Al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nan karar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n uygulanmas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n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 xml:space="preserve">n </w:t>
      </w:r>
      <w:r w:rsidRPr="00AA08FC">
        <w:rPr>
          <w:rFonts w:ascii="Calibri" w:hAnsi="Calibri" w:cs="Calibri" w:hint="cs"/>
          <w:sz w:val="22"/>
          <w:szCs w:val="22"/>
        </w:rPr>
        <w:t>ö</w:t>
      </w:r>
      <w:r w:rsidRPr="00AA08FC">
        <w:rPr>
          <w:rFonts w:ascii="Calibri" w:hAnsi="Calibri" w:cs="Calibri"/>
          <w:sz w:val="22"/>
          <w:szCs w:val="22"/>
        </w:rPr>
        <w:t xml:space="preserve">nemine dikkat </w:t>
      </w:r>
      <w:r w:rsidRPr="00AA08FC">
        <w:rPr>
          <w:rFonts w:ascii="Calibri" w:hAnsi="Calibri" w:cs="Calibri" w:hint="cs"/>
          <w:sz w:val="22"/>
          <w:szCs w:val="22"/>
        </w:rPr>
        <w:t>ç</w:t>
      </w:r>
      <w:r w:rsidRPr="00AA08FC">
        <w:rPr>
          <w:rFonts w:ascii="Calibri" w:hAnsi="Calibri" w:cs="Calibri"/>
          <w:sz w:val="22"/>
          <w:szCs w:val="22"/>
        </w:rPr>
        <w:t>ekilen a</w:t>
      </w:r>
      <w:r w:rsidRPr="00AA08FC">
        <w:rPr>
          <w:rFonts w:ascii="Calibri" w:hAnsi="Calibri" w:cs="Calibri" w:hint="cs"/>
          <w:sz w:val="22"/>
          <w:szCs w:val="22"/>
        </w:rPr>
        <w:t>çı</w:t>
      </w:r>
      <w:r w:rsidRPr="00AA08FC">
        <w:rPr>
          <w:rFonts w:ascii="Calibri" w:hAnsi="Calibri" w:cs="Calibri"/>
          <w:sz w:val="22"/>
          <w:szCs w:val="22"/>
        </w:rPr>
        <w:t xml:space="preserve">klamada, </w:t>
      </w:r>
      <w:r w:rsidRPr="00AA08FC">
        <w:rPr>
          <w:rFonts w:ascii="Calibri" w:hAnsi="Calibri" w:cs="Calibri" w:hint="cs"/>
          <w:sz w:val="22"/>
          <w:szCs w:val="22"/>
        </w:rPr>
        <w:t>ş</w:t>
      </w:r>
      <w:r>
        <w:rPr>
          <w:rFonts w:ascii="Calibri" w:hAnsi="Calibri" w:cs="Calibri"/>
          <w:sz w:val="22"/>
          <w:szCs w:val="22"/>
        </w:rPr>
        <w:t>u ifadelere yer verildi:</w:t>
      </w:r>
    </w:p>
    <w:p w14:paraId="6CB708BB" w14:textId="77777777" w:rsidR="00AA08FC" w:rsidRDefault="00AA08FC" w:rsidP="00AA08FC">
      <w:pPr>
        <w:rPr>
          <w:rFonts w:ascii="Calibri" w:hAnsi="Calibri" w:cs="Calibri"/>
          <w:b/>
          <w:bCs/>
          <w:sz w:val="22"/>
          <w:szCs w:val="22"/>
        </w:rPr>
      </w:pPr>
      <w:r w:rsidRPr="00AA08FC">
        <w:rPr>
          <w:rFonts w:ascii="Calibri" w:hAnsi="Calibri" w:cs="Calibri"/>
          <w:sz w:val="22"/>
          <w:szCs w:val="22"/>
        </w:rPr>
        <w:t>"Bu karar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n k</w:t>
      </w:r>
      <w:r w:rsidRPr="00AA08FC">
        <w:rPr>
          <w:rFonts w:ascii="Calibri" w:hAnsi="Calibri" w:cs="Calibri" w:hint="cs"/>
          <w:sz w:val="22"/>
          <w:szCs w:val="22"/>
        </w:rPr>
        <w:t>âğı</w:t>
      </w:r>
      <w:r w:rsidRPr="00AA08FC">
        <w:rPr>
          <w:rFonts w:ascii="Calibri" w:hAnsi="Calibri" w:cs="Calibri"/>
          <w:sz w:val="22"/>
          <w:szCs w:val="22"/>
        </w:rPr>
        <w:t xml:space="preserve">t </w:t>
      </w:r>
      <w:r w:rsidRPr="00AA08FC">
        <w:rPr>
          <w:rFonts w:ascii="Calibri" w:hAnsi="Calibri" w:cs="Calibri" w:hint="cs"/>
          <w:sz w:val="22"/>
          <w:szCs w:val="22"/>
        </w:rPr>
        <w:t>ü</w:t>
      </w:r>
      <w:r w:rsidRPr="00AA08FC">
        <w:rPr>
          <w:rFonts w:ascii="Calibri" w:hAnsi="Calibri" w:cs="Calibri"/>
          <w:sz w:val="22"/>
          <w:szCs w:val="22"/>
        </w:rPr>
        <w:t>zerinde kalmamas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, uluslararas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 xml:space="preserve"> adli i</w:t>
      </w:r>
      <w:r w:rsidRPr="00AA08FC">
        <w:rPr>
          <w:rFonts w:ascii="Calibri" w:hAnsi="Calibri" w:cs="Calibri" w:hint="cs"/>
          <w:sz w:val="22"/>
          <w:szCs w:val="22"/>
        </w:rPr>
        <w:t>ş</w:t>
      </w:r>
      <w:r w:rsidRPr="00AA08FC">
        <w:rPr>
          <w:rFonts w:ascii="Calibri" w:hAnsi="Calibri" w:cs="Calibri"/>
          <w:sz w:val="22"/>
          <w:szCs w:val="22"/>
        </w:rPr>
        <w:t xml:space="preserve"> birli</w:t>
      </w:r>
      <w:r w:rsidRPr="00AA08FC">
        <w:rPr>
          <w:rFonts w:ascii="Calibri" w:hAnsi="Calibri" w:cs="Calibri" w:hint="cs"/>
          <w:sz w:val="22"/>
          <w:szCs w:val="22"/>
        </w:rPr>
        <w:t>ğ</w:t>
      </w:r>
      <w:r w:rsidRPr="00AA08FC">
        <w:rPr>
          <w:rFonts w:ascii="Calibri" w:hAnsi="Calibri" w:cs="Calibri"/>
          <w:sz w:val="22"/>
          <w:szCs w:val="22"/>
        </w:rPr>
        <w:t>i mekanizmalar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>n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 xml:space="preserve">n etkin </w:t>
      </w:r>
      <w:r w:rsidRPr="00AA08FC">
        <w:rPr>
          <w:rFonts w:ascii="Calibri" w:hAnsi="Calibri" w:cs="Calibri" w:hint="cs"/>
          <w:sz w:val="22"/>
          <w:szCs w:val="22"/>
        </w:rPr>
        <w:t>ş</w:t>
      </w:r>
      <w:r w:rsidRPr="00AA08FC">
        <w:rPr>
          <w:rFonts w:ascii="Calibri" w:hAnsi="Calibri" w:cs="Calibri"/>
          <w:sz w:val="22"/>
          <w:szCs w:val="22"/>
        </w:rPr>
        <w:t>ekilde i</w:t>
      </w:r>
      <w:r w:rsidRPr="00AA08FC">
        <w:rPr>
          <w:rFonts w:ascii="Calibri" w:hAnsi="Calibri" w:cs="Calibri" w:hint="cs"/>
          <w:sz w:val="22"/>
          <w:szCs w:val="22"/>
        </w:rPr>
        <w:t>ş</w:t>
      </w:r>
      <w:r w:rsidRPr="00AA08FC">
        <w:rPr>
          <w:rFonts w:ascii="Calibri" w:hAnsi="Calibri" w:cs="Calibri"/>
          <w:sz w:val="22"/>
          <w:szCs w:val="22"/>
        </w:rPr>
        <w:t xml:space="preserve">letilmesi gerekmektedir. Bu </w:t>
      </w:r>
      <w:r w:rsidRPr="00AA08FC">
        <w:rPr>
          <w:rFonts w:ascii="Calibri" w:hAnsi="Calibri" w:cs="Calibri" w:hint="cs"/>
          <w:sz w:val="22"/>
          <w:szCs w:val="22"/>
        </w:rPr>
        <w:t>ç</w:t>
      </w:r>
      <w:r w:rsidRPr="00AA08FC">
        <w:rPr>
          <w:rFonts w:ascii="Calibri" w:hAnsi="Calibri" w:cs="Calibri"/>
          <w:sz w:val="22"/>
          <w:szCs w:val="22"/>
        </w:rPr>
        <w:t>er</w:t>
      </w:r>
      <w:r w:rsidRPr="00AA08FC">
        <w:rPr>
          <w:rFonts w:ascii="Calibri" w:hAnsi="Calibri" w:cs="Calibri" w:hint="cs"/>
          <w:sz w:val="22"/>
          <w:szCs w:val="22"/>
        </w:rPr>
        <w:t>ç</w:t>
      </w:r>
      <w:r w:rsidRPr="00AA08FC">
        <w:rPr>
          <w:rFonts w:ascii="Calibri" w:hAnsi="Calibri" w:cs="Calibri"/>
          <w:sz w:val="22"/>
          <w:szCs w:val="22"/>
        </w:rPr>
        <w:t>evede Interpol</w:t>
      </w:r>
      <w:r w:rsidRPr="00AA08FC">
        <w:rPr>
          <w:rFonts w:ascii="Calibri" w:hAnsi="Calibri" w:cs="Calibri" w:hint="cs"/>
          <w:sz w:val="22"/>
          <w:szCs w:val="22"/>
        </w:rPr>
        <w:t>’ü</w:t>
      </w:r>
      <w:r w:rsidRPr="00AA08FC">
        <w:rPr>
          <w:rFonts w:ascii="Calibri" w:hAnsi="Calibri" w:cs="Calibri"/>
          <w:sz w:val="22"/>
          <w:szCs w:val="22"/>
        </w:rPr>
        <w:t>, kendisine intikal edecek s</w:t>
      </w:r>
      <w:r w:rsidRPr="00AA08FC">
        <w:rPr>
          <w:rFonts w:ascii="Calibri" w:hAnsi="Calibri" w:cs="Calibri" w:hint="cs"/>
          <w:sz w:val="22"/>
          <w:szCs w:val="22"/>
        </w:rPr>
        <w:t>ü</w:t>
      </w:r>
      <w:r w:rsidRPr="00AA08FC">
        <w:rPr>
          <w:rFonts w:ascii="Calibri" w:hAnsi="Calibri" w:cs="Calibri"/>
          <w:sz w:val="22"/>
          <w:szCs w:val="22"/>
        </w:rPr>
        <w:t>reci hukukun evrensel ilkeleri do</w:t>
      </w:r>
      <w:r w:rsidRPr="00AA08FC">
        <w:rPr>
          <w:rFonts w:ascii="Calibri" w:hAnsi="Calibri" w:cs="Calibri" w:hint="cs"/>
          <w:sz w:val="22"/>
          <w:szCs w:val="22"/>
        </w:rPr>
        <w:t>ğ</w:t>
      </w:r>
      <w:r w:rsidRPr="00AA08FC">
        <w:rPr>
          <w:rFonts w:ascii="Calibri" w:hAnsi="Calibri" w:cs="Calibri"/>
          <w:sz w:val="22"/>
          <w:szCs w:val="22"/>
        </w:rPr>
        <w:t xml:space="preserve">rultusunda, siyasi </w:t>
      </w:r>
      <w:proofErr w:type="spellStart"/>
      <w:r w:rsidRPr="00AA08FC">
        <w:rPr>
          <w:rFonts w:ascii="Calibri" w:hAnsi="Calibri" w:cs="Calibri"/>
          <w:sz w:val="22"/>
          <w:szCs w:val="22"/>
        </w:rPr>
        <w:t>saiklerden</w:t>
      </w:r>
      <w:proofErr w:type="spellEnd"/>
      <w:r w:rsidRPr="00AA08FC">
        <w:rPr>
          <w:rFonts w:ascii="Calibri" w:hAnsi="Calibri" w:cs="Calibri"/>
          <w:sz w:val="22"/>
          <w:szCs w:val="22"/>
        </w:rPr>
        <w:t xml:space="preserve"> uzak ve tarafs</w:t>
      </w:r>
      <w:r w:rsidRPr="00AA08FC">
        <w:rPr>
          <w:rFonts w:ascii="Calibri" w:hAnsi="Calibri" w:cs="Calibri" w:hint="cs"/>
          <w:sz w:val="22"/>
          <w:szCs w:val="22"/>
        </w:rPr>
        <w:t>ı</w:t>
      </w:r>
      <w:r w:rsidRPr="00AA08FC">
        <w:rPr>
          <w:rFonts w:ascii="Calibri" w:hAnsi="Calibri" w:cs="Calibri"/>
          <w:sz w:val="22"/>
          <w:szCs w:val="22"/>
        </w:rPr>
        <w:t xml:space="preserve">z bir </w:t>
      </w:r>
      <w:r w:rsidRPr="00AA08FC">
        <w:rPr>
          <w:rFonts w:ascii="Calibri" w:hAnsi="Calibri" w:cs="Calibri" w:hint="cs"/>
          <w:sz w:val="22"/>
          <w:szCs w:val="22"/>
        </w:rPr>
        <w:t>ş</w:t>
      </w:r>
      <w:r w:rsidRPr="00AA08FC">
        <w:rPr>
          <w:rFonts w:ascii="Calibri" w:hAnsi="Calibri" w:cs="Calibri"/>
          <w:sz w:val="22"/>
          <w:szCs w:val="22"/>
        </w:rPr>
        <w:t>ekilde de</w:t>
      </w:r>
      <w:r w:rsidRPr="00AA08FC">
        <w:rPr>
          <w:rFonts w:ascii="Calibri" w:hAnsi="Calibri" w:cs="Calibri" w:hint="cs"/>
          <w:sz w:val="22"/>
          <w:szCs w:val="22"/>
        </w:rPr>
        <w:t>ğ</w:t>
      </w:r>
      <w:r w:rsidRPr="00AA08FC">
        <w:rPr>
          <w:rFonts w:ascii="Calibri" w:hAnsi="Calibri" w:cs="Calibri"/>
          <w:sz w:val="22"/>
          <w:szCs w:val="22"/>
        </w:rPr>
        <w:t xml:space="preserve">erlendirmeye; </w:t>
      </w:r>
      <w:r w:rsidRPr="00AA08FC">
        <w:rPr>
          <w:rFonts w:ascii="Calibri" w:hAnsi="Calibri" w:cs="Calibri" w:hint="cs"/>
          <w:sz w:val="22"/>
          <w:szCs w:val="22"/>
        </w:rPr>
        <w:t>ü</w:t>
      </w:r>
      <w:r w:rsidRPr="00AA08FC">
        <w:rPr>
          <w:rFonts w:ascii="Calibri" w:hAnsi="Calibri" w:cs="Calibri"/>
          <w:sz w:val="22"/>
          <w:szCs w:val="22"/>
        </w:rPr>
        <w:t>zerine d</w:t>
      </w:r>
      <w:r w:rsidRPr="00AA08FC">
        <w:rPr>
          <w:rFonts w:ascii="Calibri" w:hAnsi="Calibri" w:cs="Calibri" w:hint="cs"/>
          <w:sz w:val="22"/>
          <w:szCs w:val="22"/>
        </w:rPr>
        <w:t>üş</w:t>
      </w:r>
      <w:r w:rsidRPr="00AA08FC">
        <w:rPr>
          <w:rFonts w:ascii="Calibri" w:hAnsi="Calibri" w:cs="Calibri"/>
          <w:sz w:val="22"/>
          <w:szCs w:val="22"/>
        </w:rPr>
        <w:t>en sorumlulu</w:t>
      </w:r>
      <w:r w:rsidRPr="00AA08FC">
        <w:rPr>
          <w:rFonts w:ascii="Calibri" w:hAnsi="Calibri" w:cs="Calibri" w:hint="cs"/>
          <w:sz w:val="22"/>
          <w:szCs w:val="22"/>
        </w:rPr>
        <w:t>ğ</w:t>
      </w:r>
      <w:r w:rsidRPr="00AA08FC">
        <w:rPr>
          <w:rFonts w:ascii="Calibri" w:hAnsi="Calibri" w:cs="Calibri"/>
          <w:sz w:val="22"/>
          <w:szCs w:val="22"/>
        </w:rPr>
        <w:t>u yerine getirmeye davet ediyoruz."</w:t>
      </w:r>
      <w:r w:rsidRPr="00AA08F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1D50991" w14:textId="44D6E72B" w:rsidR="005B1BD4" w:rsidRPr="00AA08FC" w:rsidRDefault="005B1BD4" w:rsidP="00AA08FC">
      <w:pPr>
        <w:rPr>
          <w:rFonts w:ascii="Calibri" w:hAnsi="Calibri" w:cs="Calibri"/>
          <w:b/>
          <w:bCs/>
          <w:sz w:val="22"/>
          <w:szCs w:val="22"/>
        </w:rPr>
      </w:pPr>
      <w:r w:rsidRPr="00AA08FC">
        <w:rPr>
          <w:rFonts w:ascii="Calibri" w:hAnsi="Calibri" w:cs="Calibri"/>
          <w:b/>
          <w:bCs/>
          <w:sz w:val="22"/>
          <w:szCs w:val="22"/>
        </w:rPr>
        <w:t>“Gazze’de işlenen suçlar cezasız kalmam</w:t>
      </w:r>
      <w:r w:rsidR="001659B3" w:rsidRPr="00AA08FC">
        <w:rPr>
          <w:rFonts w:ascii="Calibri" w:hAnsi="Calibri" w:cs="Calibri"/>
          <w:b/>
          <w:bCs/>
          <w:sz w:val="22"/>
          <w:szCs w:val="22"/>
        </w:rPr>
        <w:t>alı”</w:t>
      </w:r>
    </w:p>
    <w:p w14:paraId="3EB01DF5" w14:textId="4E9F2172" w:rsidR="009B11C7" w:rsidRPr="00AA08FC" w:rsidRDefault="005B1BD4" w:rsidP="005B1BD4">
      <w:pPr>
        <w:rPr>
          <w:rFonts w:ascii="Calibri" w:hAnsi="Calibri" w:cs="Calibri"/>
          <w:sz w:val="22"/>
          <w:szCs w:val="22"/>
        </w:rPr>
      </w:pPr>
      <w:r w:rsidRPr="00AA08FC">
        <w:rPr>
          <w:rFonts w:ascii="Calibri" w:hAnsi="Calibri" w:cs="Calibri"/>
          <w:sz w:val="22"/>
          <w:szCs w:val="22"/>
        </w:rPr>
        <w:t>Uluslararası toplumun ve ilgili bütün kurumların da benzer şekilde adaletin tecellisine katkı sunması çağrısında bulunulan açıklamanın sonunda</w:t>
      </w:r>
      <w:r w:rsidR="00AA08FC">
        <w:rPr>
          <w:rFonts w:ascii="Calibri" w:hAnsi="Calibri" w:cs="Calibri"/>
          <w:sz w:val="22"/>
          <w:szCs w:val="22"/>
        </w:rPr>
        <w:t xml:space="preserve">, </w:t>
      </w:r>
      <w:r w:rsidRPr="00AA08FC">
        <w:rPr>
          <w:rFonts w:ascii="Calibri" w:hAnsi="Calibri" w:cs="Calibri"/>
          <w:sz w:val="22"/>
          <w:szCs w:val="22"/>
        </w:rPr>
        <w:t>“</w:t>
      </w:r>
      <w:r w:rsidR="003444D1" w:rsidRPr="003444D1">
        <w:rPr>
          <w:rFonts w:ascii="Calibri" w:hAnsi="Calibri" w:cs="Calibri"/>
          <w:sz w:val="22"/>
          <w:szCs w:val="22"/>
        </w:rPr>
        <w:t>Bu karar</w:t>
      </w:r>
      <w:r w:rsidR="003444D1" w:rsidRPr="003444D1">
        <w:rPr>
          <w:rFonts w:ascii="Calibri" w:hAnsi="Calibri" w:cs="Calibri" w:hint="cs"/>
          <w:sz w:val="22"/>
          <w:szCs w:val="22"/>
        </w:rPr>
        <w:t>ı</w:t>
      </w:r>
      <w:r w:rsidR="003444D1" w:rsidRPr="003444D1">
        <w:rPr>
          <w:rFonts w:ascii="Calibri" w:hAnsi="Calibri" w:cs="Calibri"/>
          <w:sz w:val="22"/>
          <w:szCs w:val="22"/>
        </w:rPr>
        <w:t>n,</w:t>
      </w:r>
      <w:r w:rsidR="003444D1">
        <w:rPr>
          <w:rFonts w:ascii="Calibri" w:hAnsi="Calibri" w:cs="Calibri"/>
          <w:sz w:val="22"/>
          <w:szCs w:val="22"/>
        </w:rPr>
        <w:t xml:space="preserve"> s</w:t>
      </w:r>
      <w:r w:rsidRPr="00AA08FC">
        <w:rPr>
          <w:rFonts w:ascii="Calibri" w:hAnsi="Calibri" w:cs="Calibri"/>
          <w:sz w:val="22"/>
          <w:szCs w:val="22"/>
        </w:rPr>
        <w:t>oykırım ve insanlığa karşı suçların etkili biçimde soruşt</w:t>
      </w:r>
      <w:r w:rsidR="003444D1">
        <w:rPr>
          <w:rFonts w:ascii="Calibri" w:hAnsi="Calibri" w:cs="Calibri"/>
          <w:sz w:val="22"/>
          <w:szCs w:val="22"/>
        </w:rPr>
        <w:t xml:space="preserve">urulmasının önünü açması tarihî </w:t>
      </w:r>
      <w:r w:rsidRPr="00AA08FC">
        <w:rPr>
          <w:rFonts w:ascii="Calibri" w:hAnsi="Calibri" w:cs="Calibri"/>
          <w:sz w:val="22"/>
          <w:szCs w:val="22"/>
        </w:rPr>
        <w:t>bir sorumluluktur. Gazze’de işlenen suçların cezasız kalmaması için yürütülecek her türlü hukuki sürecin takipçisi olmaya devam edeceğimizi kamuoyuna saygıyla bildiriyoruz.”</w:t>
      </w:r>
      <w:r w:rsidR="00AA08FC">
        <w:rPr>
          <w:rFonts w:ascii="Calibri" w:hAnsi="Calibri" w:cs="Calibri"/>
          <w:sz w:val="22"/>
          <w:szCs w:val="22"/>
        </w:rPr>
        <w:t xml:space="preserve"> denildi.</w:t>
      </w:r>
    </w:p>
    <w:sectPr w:rsidR="009B11C7" w:rsidRPr="00AA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8B"/>
    <w:rsid w:val="001659B3"/>
    <w:rsid w:val="003444D1"/>
    <w:rsid w:val="00402BA8"/>
    <w:rsid w:val="005B1BD4"/>
    <w:rsid w:val="007A388B"/>
    <w:rsid w:val="009B11C7"/>
    <w:rsid w:val="00AA08FC"/>
    <w:rsid w:val="00D3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1D32"/>
  <w15:chartTrackingRefBased/>
  <w15:docId w15:val="{89479DC4-4D48-4B14-A204-B7C4CAC2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BD4"/>
  </w:style>
  <w:style w:type="paragraph" w:styleId="Balk1">
    <w:name w:val="heading 1"/>
    <w:basedOn w:val="Normal"/>
    <w:next w:val="Normal"/>
    <w:link w:val="Balk1Char"/>
    <w:uiPriority w:val="9"/>
    <w:qFormat/>
    <w:rsid w:val="007A3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3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3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A3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3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3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3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3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3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3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3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3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7A388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388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38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38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38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38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3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3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3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3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3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38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388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388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3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388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388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B1BD4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B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4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HÜDA PAR</dc:creator>
  <cp:keywords/>
  <dc:description/>
  <cp:lastModifiedBy>User</cp:lastModifiedBy>
  <cp:revision>3</cp:revision>
  <dcterms:created xsi:type="dcterms:W3CDTF">2026-07-15T05:57:00Z</dcterms:created>
  <dcterms:modified xsi:type="dcterms:W3CDTF">2026-07-15T08:10:00Z</dcterms:modified>
</cp:coreProperties>
</file>